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14C91">
      <w:pPr>
        <w:spacing w:after="0" w:line="416" w:lineRule="exact"/>
        <w:ind w:right="-20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-4"/>
          <w:sz w:val="32"/>
          <w:szCs w:val="32"/>
        </w:rPr>
        <w:t xml:space="preserve"> </w:t>
      </w:r>
    </w:p>
    <w:p w14:paraId="4085E96A">
      <w:pPr>
        <w:spacing w:after="0"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0FD496F6">
      <w:pPr>
        <w:spacing w:before="2" w:after="0"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2BECEE76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年度茂名市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机电工程、电力工程、仪器仪表技术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中（初）级职称评审、认定和确认申报材料说明</w:t>
      </w:r>
    </w:p>
    <w:p w14:paraId="08590798">
      <w:pPr>
        <w:spacing w:after="0"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377CB21D">
      <w:pPr>
        <w:spacing w:before="11" w:after="0" w:line="2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689DF21E">
      <w:pPr>
        <w:spacing w:after="0" w:line="59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一、材料要求</w:t>
      </w:r>
    </w:p>
    <w:p w14:paraId="58AD1EEF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申报人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须在“广东省省本级专业技术网上申报系统”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进行网上申报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，提交评委会的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纸质申报材料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需与系统材料一致，需要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注意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</w:rPr>
        <w:t>导出文档的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字体和格式，涉及字体缺失请自行安装，包含字体仿宋_GB2312、楷体_GB2312、宋体等）；</w:t>
      </w:r>
    </w:p>
    <w:p w14:paraId="78011577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u w:val="none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《广东省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</w:rPr>
        <w:t>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评审表》须以提交从系统填报后自动生成表格导出版本为准，纸质版的表格填写内容须与系统填报内容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一致；</w:t>
      </w:r>
    </w:p>
    <w:p w14:paraId="32A2C6BD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《初次职称考核认定申报表》须以提交从系统填报后 自动生成表格导出版本为准，纸质版的表格填写内容须与系统填 报内容要一致；</w:t>
      </w:r>
    </w:p>
    <w:p w14:paraId="5BDA297F">
      <w:pPr>
        <w:spacing w:after="0" w:line="590" w:lineRule="exact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其他评审表格请登录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en-US"/>
        </w:rPr>
        <w:t>广东省省本级专业技术网上申报系统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-文件下载-广东省职称评审表格-普通专业技术人员压缩包；</w:t>
      </w:r>
    </w:p>
    <w:p w14:paraId="553881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</w:rPr>
        <w:t>除另有规定的专业外，申报材料的时效均截止于2025年12月31日，其后取得的业绩成果、论文、学历（学位）证等，不作为2025年度评审的有效材料。</w:t>
      </w:r>
    </w:p>
    <w:p w14:paraId="3B735B56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申报人要根据自己的专业技术岗位，对照国家、省的职称政策及相应资格条件，如实填报并必须一次性提交全部申报评审材料（过后不补），提交时装在不易破损的硬纸皮档案袋内，避免材料遗漏，封面贴上目录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（从申报系统文件下载模板中下载）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18BEE9A4">
      <w:pPr>
        <w:spacing w:after="0" w:line="590" w:lineRule="exact"/>
        <w:ind w:firstLine="640" w:firstLineChars="200"/>
        <w:jc w:val="both"/>
        <w:rPr>
          <w:color w:val="000000" w:themeColor="text1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凡不符合评审条件、没有使用规定表格、不符合填写规范、不按规定时间程序报送材料、未按规定进行公示等不符合职称政策规定的不予受理。</w:t>
      </w:r>
    </w:p>
    <w:p w14:paraId="1AA65334">
      <w:pPr>
        <w:spacing w:after="0" w:line="59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二、申报初级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（含技术员和助理级）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专业技术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职称评审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的材料</w:t>
      </w:r>
    </w:p>
    <w:p w14:paraId="3E98705B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《送评材料目录单》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一份（贴在资料档案袋封面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）；</w:t>
      </w:r>
    </w:p>
    <w:p w14:paraId="38A8A383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《广东省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评审表》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（封面处盖单位公章）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其中所在单位要对申报人任现职以来的职业道德、思想政治表现、专业技术工作业绩成果、工作表现以及填报材料真实可靠性提出准确客观的综合评价意见，填入《专业技术资格评审表》，字数不少于 150 字；</w:t>
      </w:r>
    </w:p>
    <w:p w14:paraId="16EE37B0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《初级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职称申报人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基本情况及评审登记表》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一式十份，其中一份为原件；</w:t>
      </w:r>
    </w:p>
    <w:p w14:paraId="5081FFA8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《证书、证明材料》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包括：学历证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（毕业证需提供学历验证证明）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证（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已取得职称证的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必须经单位审核验证并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“此件与原件相符”章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，以前年度取得的职称证需提供查验截图证明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事业单位申报人需提交上级主管部门出具的在岗在职证明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（主要内容包括：个人信息、近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2年受记过以上处分情况、是否符合岗位结构比例等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，企业和社会组织的申报人提供与个人工作经历相同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连续半年以上的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社保证明原件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2026年变更工作单位的，还应提交2026年相应月份的社保凭证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（个人可微信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登陆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“粤省事”，在电子社保卡里点击开具证明查询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彩色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打印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或由社保部门出具并加盖业务专用章、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窗口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经办人签名，复印件一律无效）；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继续教育合格证明彩印加盖单位公章当原件使用（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机电工程、电力工程、仪器仪表技术专业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）；以及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其它需提供的证书证明材料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装订成册）；</w:t>
      </w:r>
    </w:p>
    <w:p w14:paraId="3FE1E67D">
      <w:pPr>
        <w:spacing w:after="0" w:line="59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《任现职以来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工作能力、业绩成果条件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</w:rPr>
        <w:t>表五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，指能够反映任现职以来业绩情况的证明材料。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详情请参考职称评价标准条件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。</w:t>
      </w:r>
    </w:p>
    <w:p w14:paraId="0367B367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《广东省专业技术人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职称评审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前公示情况表》一份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67E9EA00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相应年度的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专业技术人员年度（聘任满期）考核登记表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复印件一份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（表八）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15FD4C7E">
      <w:pPr>
        <w:spacing w:after="0" w:line="590" w:lineRule="exact"/>
        <w:ind w:firstLine="640" w:firstLineChars="200"/>
        <w:jc w:val="both"/>
        <w:rPr>
          <w:rFonts w:hint="eastAsia" w:eastAsia="仿宋_GB231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任职以来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工作总结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一份（1500字以内）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 w14:paraId="7C3D9EB1">
      <w:pPr>
        <w:spacing w:after="0" w:line="59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三、申报中级专业技术资格的材料</w:t>
      </w:r>
    </w:p>
    <w:p w14:paraId="4B22E7F2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《送评材料目录单》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一份（贴在资料档案袋封面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）；</w:t>
      </w:r>
    </w:p>
    <w:p w14:paraId="79A382A7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《广东省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评审表》一份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（封面处盖单位公章）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其中所在单位要对申报人任现职以来的职业道德、思想政治表现、专业技术工作业绩成果、工作表现以及填报材料真实可靠性提出准确客观的综合评价意见，填入《专业技术资格评审表》，字数不少于 150 字；</w:t>
      </w:r>
    </w:p>
    <w:p w14:paraId="0C84DE34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《中级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职称申报人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基本情况及评审登记表》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一式十五份，其中一份为原件；</w:t>
      </w:r>
    </w:p>
    <w:p w14:paraId="537FA034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《证书、证明材料》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包括：学历证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（毕业证需提供学历验证证明，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有效期延迟6个月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证（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已取得职称证的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必须经单位审核验证并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“此件与原件相符”章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，以前年度取得的职称证需提供查验截图证明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事业单位申报人需提交上级主管部门出具的在岗在职证明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（主要内容包括：个人信息、近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2年受记过以上处分情况、是否符合岗位结构比例等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，企业和社会组织的申报人提供与个人工作经历相同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连续半年以上的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社保证明原件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2026年变更工作单位的，还应提交2026年相应月份的社保凭证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（个人可微信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登陆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“粤省事”，在电子社保卡里点击开具证明查询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彩色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打印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或由社保部门出具并加盖业务专用章、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窗口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经办人签名，复印件一律无效）；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继续教育合格证明彩印加盖单位公章当原件使用（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机电工程、电力工程、仪器仪表技术专业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其它需提供的证书证明材料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装订成册）；</w:t>
      </w:r>
    </w:p>
    <w:p w14:paraId="3E2DA851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《任现职以来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工作能力、业绩成果条件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</w:rPr>
        <w:t>表五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，指能够反映任现职以来业绩情况的证明材料。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详情请参考职称评价标准条件；</w:t>
      </w:r>
    </w:p>
    <w:p w14:paraId="1DA6101C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《广东省专业技术人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职称评审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前公示情况表》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一份；</w:t>
      </w:r>
    </w:p>
    <w:p w14:paraId="15B91F3D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相应年度的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专业技术人员年度（聘任期满）考核登记表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表八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2AC14497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任现职以来的“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工作总结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”一份（3000 字以内）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 w14:paraId="11E0C255">
      <w:pPr>
        <w:spacing w:after="0" w:line="59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四、初次职称考核认定的材料</w:t>
      </w:r>
    </w:p>
    <w:p w14:paraId="35362A7E">
      <w:pPr>
        <w:spacing w:after="0" w:line="590" w:lineRule="exact"/>
        <w:ind w:firstLine="640" w:firstLineChars="200"/>
        <w:jc w:val="both"/>
        <w:rPr>
          <w:rFonts w:hint="eastAsia" w:ascii="楷体_GB2312" w:hAnsi="楷体_GB2312" w:eastAsia="仿宋_GB2312" w:cs="楷体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《送评材料目录单》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一份（贴在资料档案袋封面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</w:t>
      </w:r>
    </w:p>
    <w:p w14:paraId="41061605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初次职称考核认定申报表》一份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（封面处盖单位公章）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6802DA40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《证书、证明材料》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毕业证书（学位证书）复印件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以及学历验证证明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延有效期延期6个月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5BF71D96">
      <w:pPr>
        <w:spacing w:after="0" w:line="590" w:lineRule="exact"/>
        <w:ind w:firstLine="640" w:firstLineChars="200"/>
        <w:jc w:val="both"/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事业单位申报人需提交上级主管部门出具的在岗在职证明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（主要内容包括：个人信息、近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2年受记过以上处分情况、是否符合岗位结构比例等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，企业和社会组织的申报人提供与个人工作经历相同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连续半年以上的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社保证明原件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2026年变更工作单位的，还应提交2026年相应月份的社保凭证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（个人可微信登陆“粤省事”，在电子社保卡里点击开具证明查询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彩色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打印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或由社保部门出具并加盖业务专用章、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窗口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经办人签名，复印件一律无效）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48A14A6E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业绩成果材料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7AEA1954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公示情况表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11AD3BD8">
      <w:pPr>
        <w:spacing w:after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相应年度的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专业技术人员年度（聘任期满）考核登记表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>表八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1F219180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 w:bidi="ar-SA"/>
        </w:rPr>
        <w:t>（八）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</w:rPr>
        <w:t>任职以来个人专业技术工作总结一份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</w:rPr>
        <w:t>（初级1500字以内，中级3000以内）。</w:t>
      </w:r>
    </w:p>
    <w:p w14:paraId="06015BA4">
      <w:pPr>
        <w:pStyle w:val="2"/>
        <w:rPr>
          <w:rFonts w:hint="eastAsia"/>
        </w:rPr>
      </w:pPr>
    </w:p>
    <w:p w14:paraId="416BC473">
      <w:pPr>
        <w:spacing w:after="0" w:line="59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确认申报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的材料</w:t>
      </w:r>
    </w:p>
    <w:p w14:paraId="75008F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《送评材料目录单》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表一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一份（贴在资料档案袋封面，盖单位公章）；</w:t>
      </w:r>
    </w:p>
    <w:p w14:paraId="327F1C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《广东省跨区域、跨单位流动专业技术人才职称确认表》原件一份；</w:t>
      </w:r>
    </w:p>
    <w:p w14:paraId="73073F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身份证复印件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一份（盖单位公章和原件相符章）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</w:t>
      </w:r>
    </w:p>
    <w:p w14:paraId="17FBC4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原职称证复印件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份（核原件）；</w:t>
      </w:r>
    </w:p>
    <w:p w14:paraId="7E3BA6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原职称申报表或者经档案保管部门盖章的复印件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份。</w:t>
      </w:r>
    </w:p>
    <w:p w14:paraId="7721FA72">
      <w:pPr>
        <w:spacing w:after="0" w:line="590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六、申报人所在单位相关要求</w:t>
      </w:r>
    </w:p>
    <w:p w14:paraId="5D7567A8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1.申报人所在单位要认真审查申报材料的合法性。是否符合相应资格条件的申报条件要求，有执业资格要求的专业是否符合执业类别和范围的规定。</w:t>
      </w:r>
    </w:p>
    <w:p w14:paraId="4F615AFA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2.申报人所在单位要认真审查申报材料的真实性。是否与申报人的专业技术工作经历、论文、业绩及所起的作用、年度考核等客观事实相符。</w:t>
      </w:r>
    </w:p>
    <w:p w14:paraId="11491D3A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申报人所在单位要认真审查申报材料的完整性。申报的基础材料、业绩成果、论文著作等是否完整提交，评审表中必填栏目（专业技术工作经历、业绩成果、论文和时效等）是否空白，是否如实填报负面情况，是否如实填报同时或不同时申报其他系列（专业）的资格及其名称。</w:t>
      </w:r>
    </w:p>
    <w:p w14:paraId="4A651F0D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单位要按规定将申报材料和投诉受理部门及电话，在单位显著位置张榜和单位网站首页进行公示。其他申报材料放置在单位会议室等公共场所，以供查验。评前公示时间不少于5个工作日。受理信访主要由单位人事（职称）管理部门负责。经查实存在弄虚作假或其它违规行为的申报材料不予报送，并按有关规定处理；对举报问题一时难以核实的，应如实注明，评审材料先行报送，待核实后结果及时报送评委会办公室。</w:t>
      </w:r>
    </w:p>
    <w:p w14:paraId="7FAD2630">
      <w:pPr>
        <w:spacing w:after="0" w:line="59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5.公示结束后，由单位人事部门在《广东省专业技术人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职称评审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前公示情况表》和《中（初）级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职称申报人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基本情况及评审登记表》上加具意见并加盖公章，作为申报材料一并报送。</w:t>
      </w:r>
    </w:p>
    <w:sectPr>
      <w:footerReference r:id="rId5" w:type="default"/>
      <w:pgSz w:w="11920" w:h="16840"/>
      <w:pgMar w:top="1560" w:right="1360" w:bottom="1160" w:left="1480" w:header="0" w:footer="9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B4003-65A2-4264-A6A9-CDAE5759B3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F107977-7A9B-4D30-A7A8-EBCAE7B83A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D9D7023-6C90-479E-894A-A4B34530B31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CC6A9BA-B2EB-43EE-BDB7-C21FAB1A7A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8A55">
    <w:pPr>
      <w:spacing w:after="0" w:line="200" w:lineRule="exact"/>
      <w:rPr>
        <w:sz w:val="20"/>
        <w:szCs w:val="20"/>
      </w:rPr>
    </w:pPr>
    <w:r>
      <w:pict>
        <v:shape id="文本框 1025" o:spid="_x0000_s1026" o:spt="202" type="#_x0000_t202" style="position:absolute;left:0pt;margin-left:281.95pt;margin-top:782.3pt;height:16.05pt;width:36.95pt;mso-position-horizontal-relative:page;mso-position-vertical-relative:page;z-index:-251657216;mso-width-relative:page;mso-height-relative:page;" filled="f" stroked="f" coordsize="21600,21600" o:gfxdata="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dEyC9oAAAANAQAADwAAAAAAAAABACAAAAAiAAAAZHJzL2Rvd25yZXYueG1s&#10;UEsBAhQAFAAAAAgAh07iQGfgGey9AQAAdAMAAA4AAAAAAAAAAQAgAAAAKQ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5923D80">
                <w:pPr>
                  <w:spacing w:after="0" w:line="321" w:lineRule="exact"/>
                  <w:ind w:left="20" w:right="-62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w w:val="150"/>
                    <w:sz w:val="28"/>
                    <w:szCs w:val="28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spacing w:val="35"/>
                    <w:w w:val="150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 w:eastAsia="Times New Roman" w:cs="Times New Roman"/>
                    <w:spacing w:val="68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w w:val="150"/>
                    <w:sz w:val="28"/>
                    <w:szCs w:val="2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2"/>
  </w:compat>
  <w:docVars>
    <w:docVar w:name="commondata" w:val="eyJoZGlkIjoiM2U3ODgwNTNlZTcxOWU4NTM0YmJkMDk0N2RhZjdmNDkifQ=="/>
  </w:docVars>
  <w:rsids>
    <w:rsidRoot w:val="002E1F17"/>
    <w:rsid w:val="00135575"/>
    <w:rsid w:val="00181978"/>
    <w:rsid w:val="001D063E"/>
    <w:rsid w:val="002A3CA2"/>
    <w:rsid w:val="002D4ECD"/>
    <w:rsid w:val="002E1F17"/>
    <w:rsid w:val="00554CB7"/>
    <w:rsid w:val="00681D48"/>
    <w:rsid w:val="006A65B1"/>
    <w:rsid w:val="006F783E"/>
    <w:rsid w:val="0077485B"/>
    <w:rsid w:val="00826125"/>
    <w:rsid w:val="0085769A"/>
    <w:rsid w:val="00A805E9"/>
    <w:rsid w:val="00B41959"/>
    <w:rsid w:val="00B86435"/>
    <w:rsid w:val="00C36920"/>
    <w:rsid w:val="00C4189D"/>
    <w:rsid w:val="00CB5606"/>
    <w:rsid w:val="00E605C4"/>
    <w:rsid w:val="00E6284A"/>
    <w:rsid w:val="00EB4CED"/>
    <w:rsid w:val="01626374"/>
    <w:rsid w:val="018B55C2"/>
    <w:rsid w:val="01E23011"/>
    <w:rsid w:val="024141DC"/>
    <w:rsid w:val="028B3CA0"/>
    <w:rsid w:val="02B05971"/>
    <w:rsid w:val="02BC7B5E"/>
    <w:rsid w:val="03162E49"/>
    <w:rsid w:val="033E50F0"/>
    <w:rsid w:val="03CD1A9F"/>
    <w:rsid w:val="040C0819"/>
    <w:rsid w:val="041D6583"/>
    <w:rsid w:val="042518DB"/>
    <w:rsid w:val="049E54BC"/>
    <w:rsid w:val="04B14F1D"/>
    <w:rsid w:val="04EE6171"/>
    <w:rsid w:val="054F4E8B"/>
    <w:rsid w:val="05A36F5B"/>
    <w:rsid w:val="05DE7F94"/>
    <w:rsid w:val="066C2F88"/>
    <w:rsid w:val="06C5087C"/>
    <w:rsid w:val="084533AC"/>
    <w:rsid w:val="08517143"/>
    <w:rsid w:val="08FD4BD5"/>
    <w:rsid w:val="0972111F"/>
    <w:rsid w:val="0A820963"/>
    <w:rsid w:val="0A854E82"/>
    <w:rsid w:val="0ACB4F8A"/>
    <w:rsid w:val="0AE41BA8"/>
    <w:rsid w:val="0B2C17A1"/>
    <w:rsid w:val="0D755681"/>
    <w:rsid w:val="0DB31059"/>
    <w:rsid w:val="0E7E2540"/>
    <w:rsid w:val="0E8D69FB"/>
    <w:rsid w:val="0E990EFC"/>
    <w:rsid w:val="0EA55AF2"/>
    <w:rsid w:val="0EE5457E"/>
    <w:rsid w:val="0EF13C9D"/>
    <w:rsid w:val="0F5372FC"/>
    <w:rsid w:val="0F900551"/>
    <w:rsid w:val="0FCB1589"/>
    <w:rsid w:val="0FDA17CC"/>
    <w:rsid w:val="0FDD306A"/>
    <w:rsid w:val="104F3F68"/>
    <w:rsid w:val="106B4B1A"/>
    <w:rsid w:val="108A31F2"/>
    <w:rsid w:val="10A45570"/>
    <w:rsid w:val="11B46577"/>
    <w:rsid w:val="11D92E71"/>
    <w:rsid w:val="124A1AFD"/>
    <w:rsid w:val="136A730B"/>
    <w:rsid w:val="138959E3"/>
    <w:rsid w:val="13BA2040"/>
    <w:rsid w:val="13C97ADF"/>
    <w:rsid w:val="143F42F3"/>
    <w:rsid w:val="14832432"/>
    <w:rsid w:val="148461AA"/>
    <w:rsid w:val="15361FA3"/>
    <w:rsid w:val="15F630D7"/>
    <w:rsid w:val="16210154"/>
    <w:rsid w:val="172B6DB1"/>
    <w:rsid w:val="17343EB7"/>
    <w:rsid w:val="17E53404"/>
    <w:rsid w:val="17EF1B5C"/>
    <w:rsid w:val="192C5480"/>
    <w:rsid w:val="19704F4F"/>
    <w:rsid w:val="197915A2"/>
    <w:rsid w:val="19E7545F"/>
    <w:rsid w:val="1A0C111B"/>
    <w:rsid w:val="1A6A45F3"/>
    <w:rsid w:val="1A9B7FF4"/>
    <w:rsid w:val="1AD56F8D"/>
    <w:rsid w:val="1B023742"/>
    <w:rsid w:val="1BD37D2F"/>
    <w:rsid w:val="1BEF2AA3"/>
    <w:rsid w:val="1C3D55BC"/>
    <w:rsid w:val="1C705992"/>
    <w:rsid w:val="1CA76EDA"/>
    <w:rsid w:val="1D41732E"/>
    <w:rsid w:val="1DC030F1"/>
    <w:rsid w:val="1E110AAE"/>
    <w:rsid w:val="1E4F7829"/>
    <w:rsid w:val="1FCD2C9E"/>
    <w:rsid w:val="20531852"/>
    <w:rsid w:val="20704FCE"/>
    <w:rsid w:val="21BC51D5"/>
    <w:rsid w:val="21CD2F3E"/>
    <w:rsid w:val="221072CF"/>
    <w:rsid w:val="221B014E"/>
    <w:rsid w:val="231132FF"/>
    <w:rsid w:val="23582CDC"/>
    <w:rsid w:val="23D507D0"/>
    <w:rsid w:val="241906BD"/>
    <w:rsid w:val="241A2687"/>
    <w:rsid w:val="24EA02AB"/>
    <w:rsid w:val="24F15196"/>
    <w:rsid w:val="260E1D77"/>
    <w:rsid w:val="26993D37"/>
    <w:rsid w:val="26B80661"/>
    <w:rsid w:val="27604855"/>
    <w:rsid w:val="27DC037F"/>
    <w:rsid w:val="28B5297E"/>
    <w:rsid w:val="290E511A"/>
    <w:rsid w:val="29BD1AEA"/>
    <w:rsid w:val="2A226172"/>
    <w:rsid w:val="2B240021"/>
    <w:rsid w:val="2B5621F6"/>
    <w:rsid w:val="2B7D59D5"/>
    <w:rsid w:val="2BD4694A"/>
    <w:rsid w:val="2CC47634"/>
    <w:rsid w:val="2DFD4BAB"/>
    <w:rsid w:val="2FDD2EE6"/>
    <w:rsid w:val="3034062C"/>
    <w:rsid w:val="304F6F8F"/>
    <w:rsid w:val="30C467C3"/>
    <w:rsid w:val="319E48F7"/>
    <w:rsid w:val="326D4E04"/>
    <w:rsid w:val="328B0693"/>
    <w:rsid w:val="333170A5"/>
    <w:rsid w:val="33735C77"/>
    <w:rsid w:val="338B2C59"/>
    <w:rsid w:val="33B97806"/>
    <w:rsid w:val="33BE302F"/>
    <w:rsid w:val="33F86541"/>
    <w:rsid w:val="34677222"/>
    <w:rsid w:val="3566572C"/>
    <w:rsid w:val="35A61FCC"/>
    <w:rsid w:val="35EC556F"/>
    <w:rsid w:val="36453593"/>
    <w:rsid w:val="36B3674F"/>
    <w:rsid w:val="36B83D65"/>
    <w:rsid w:val="36C90085"/>
    <w:rsid w:val="36E965AC"/>
    <w:rsid w:val="371511B8"/>
    <w:rsid w:val="37AA64C4"/>
    <w:rsid w:val="3A4818A4"/>
    <w:rsid w:val="3A610C56"/>
    <w:rsid w:val="3AAE6CD2"/>
    <w:rsid w:val="3B467CD8"/>
    <w:rsid w:val="3BBB1B47"/>
    <w:rsid w:val="3C046F9E"/>
    <w:rsid w:val="3C125CC6"/>
    <w:rsid w:val="3C4F6F1A"/>
    <w:rsid w:val="3CB11983"/>
    <w:rsid w:val="3CDC4526"/>
    <w:rsid w:val="3D9D3CB5"/>
    <w:rsid w:val="3D9E488C"/>
    <w:rsid w:val="3E577405"/>
    <w:rsid w:val="3EC126F9"/>
    <w:rsid w:val="3EEC6CA2"/>
    <w:rsid w:val="3F0F2BCD"/>
    <w:rsid w:val="3F3E6DD2"/>
    <w:rsid w:val="3FB222C9"/>
    <w:rsid w:val="3FDE5404"/>
    <w:rsid w:val="40362FE4"/>
    <w:rsid w:val="403F72A5"/>
    <w:rsid w:val="408353E4"/>
    <w:rsid w:val="40D35049"/>
    <w:rsid w:val="41961147"/>
    <w:rsid w:val="41DB6CE1"/>
    <w:rsid w:val="41E579D9"/>
    <w:rsid w:val="42D77121"/>
    <w:rsid w:val="433724B6"/>
    <w:rsid w:val="437C6D3A"/>
    <w:rsid w:val="438C4DCE"/>
    <w:rsid w:val="43F44339"/>
    <w:rsid w:val="43F6411F"/>
    <w:rsid w:val="45DB537A"/>
    <w:rsid w:val="45FA0F01"/>
    <w:rsid w:val="462A6302"/>
    <w:rsid w:val="46F32B98"/>
    <w:rsid w:val="470E1780"/>
    <w:rsid w:val="481132D5"/>
    <w:rsid w:val="48166B3E"/>
    <w:rsid w:val="48493091"/>
    <w:rsid w:val="486E697A"/>
    <w:rsid w:val="48CC36A0"/>
    <w:rsid w:val="48E40CEE"/>
    <w:rsid w:val="499917D4"/>
    <w:rsid w:val="49AA1C33"/>
    <w:rsid w:val="4A01737A"/>
    <w:rsid w:val="4A4A408E"/>
    <w:rsid w:val="4A4E1AC0"/>
    <w:rsid w:val="4AF40C8C"/>
    <w:rsid w:val="4B2E0642"/>
    <w:rsid w:val="4C043151"/>
    <w:rsid w:val="4CB15087"/>
    <w:rsid w:val="4CEA7A4E"/>
    <w:rsid w:val="4D1C6403"/>
    <w:rsid w:val="4D3F08E5"/>
    <w:rsid w:val="4E6A08AC"/>
    <w:rsid w:val="4F5C39D0"/>
    <w:rsid w:val="4F602D94"/>
    <w:rsid w:val="4FB37368"/>
    <w:rsid w:val="50D023F9"/>
    <w:rsid w:val="51C94C21"/>
    <w:rsid w:val="52614E59"/>
    <w:rsid w:val="530F2B07"/>
    <w:rsid w:val="532E36AE"/>
    <w:rsid w:val="53B13BBE"/>
    <w:rsid w:val="543E18F6"/>
    <w:rsid w:val="54627485"/>
    <w:rsid w:val="54E337C4"/>
    <w:rsid w:val="555D2DE0"/>
    <w:rsid w:val="558C043F"/>
    <w:rsid w:val="55A90FF1"/>
    <w:rsid w:val="55CF3614"/>
    <w:rsid w:val="57540AA7"/>
    <w:rsid w:val="575E405D"/>
    <w:rsid w:val="58BE32CF"/>
    <w:rsid w:val="58C34A20"/>
    <w:rsid w:val="59772552"/>
    <w:rsid w:val="5A144EA7"/>
    <w:rsid w:val="5B3E21DC"/>
    <w:rsid w:val="5C367B48"/>
    <w:rsid w:val="5CD25E2E"/>
    <w:rsid w:val="5D0631CD"/>
    <w:rsid w:val="5D7F26E2"/>
    <w:rsid w:val="5DB057B9"/>
    <w:rsid w:val="5DC2265C"/>
    <w:rsid w:val="5F610B8F"/>
    <w:rsid w:val="5FA97886"/>
    <w:rsid w:val="5FE5356E"/>
    <w:rsid w:val="60311B9C"/>
    <w:rsid w:val="60DB671F"/>
    <w:rsid w:val="613146C1"/>
    <w:rsid w:val="614918DA"/>
    <w:rsid w:val="61695AD8"/>
    <w:rsid w:val="61C55EFD"/>
    <w:rsid w:val="61E97A82"/>
    <w:rsid w:val="624B7414"/>
    <w:rsid w:val="627A3EB2"/>
    <w:rsid w:val="6280132C"/>
    <w:rsid w:val="635C4C4F"/>
    <w:rsid w:val="636C7B02"/>
    <w:rsid w:val="63E44975"/>
    <w:rsid w:val="649C6457"/>
    <w:rsid w:val="64EA33D4"/>
    <w:rsid w:val="65821581"/>
    <w:rsid w:val="65B57F02"/>
    <w:rsid w:val="65D51D33"/>
    <w:rsid w:val="663A1D31"/>
    <w:rsid w:val="667C4E34"/>
    <w:rsid w:val="67055918"/>
    <w:rsid w:val="672C3830"/>
    <w:rsid w:val="675E25C8"/>
    <w:rsid w:val="67760F4F"/>
    <w:rsid w:val="67DB4309"/>
    <w:rsid w:val="68B735CD"/>
    <w:rsid w:val="69847953"/>
    <w:rsid w:val="69BF6CDC"/>
    <w:rsid w:val="6ACD70D8"/>
    <w:rsid w:val="6ACE4BFE"/>
    <w:rsid w:val="6C767F1C"/>
    <w:rsid w:val="6CB744E6"/>
    <w:rsid w:val="6D350F65"/>
    <w:rsid w:val="6D747CDF"/>
    <w:rsid w:val="6DB86119"/>
    <w:rsid w:val="6DC339FD"/>
    <w:rsid w:val="6DDD3AD6"/>
    <w:rsid w:val="6E7D0E15"/>
    <w:rsid w:val="6E9A4E3C"/>
    <w:rsid w:val="6EA96357"/>
    <w:rsid w:val="6F0D03EB"/>
    <w:rsid w:val="6F5953DE"/>
    <w:rsid w:val="6F7B5355"/>
    <w:rsid w:val="6FA83C70"/>
    <w:rsid w:val="708C17E3"/>
    <w:rsid w:val="70AA7770"/>
    <w:rsid w:val="70B30B1E"/>
    <w:rsid w:val="70CB230C"/>
    <w:rsid w:val="712612F0"/>
    <w:rsid w:val="7158072E"/>
    <w:rsid w:val="71581B4D"/>
    <w:rsid w:val="719E4AE4"/>
    <w:rsid w:val="71A55100"/>
    <w:rsid w:val="722577FA"/>
    <w:rsid w:val="72DB435C"/>
    <w:rsid w:val="73942446"/>
    <w:rsid w:val="742064CB"/>
    <w:rsid w:val="74A0760B"/>
    <w:rsid w:val="76AF7FDA"/>
    <w:rsid w:val="76B52D9C"/>
    <w:rsid w:val="76D417EE"/>
    <w:rsid w:val="770B2505"/>
    <w:rsid w:val="77E45A61"/>
    <w:rsid w:val="784529A4"/>
    <w:rsid w:val="790948B3"/>
    <w:rsid w:val="790F2D94"/>
    <w:rsid w:val="7A560E98"/>
    <w:rsid w:val="7A7237F8"/>
    <w:rsid w:val="7BEE5100"/>
    <w:rsid w:val="7BFC0613"/>
    <w:rsid w:val="7CE0713F"/>
    <w:rsid w:val="7D2E685E"/>
    <w:rsid w:val="7D4476CE"/>
    <w:rsid w:val="7DFC77ED"/>
    <w:rsid w:val="7E2E3EDA"/>
    <w:rsid w:val="7E746906"/>
    <w:rsid w:val="7E9B60B8"/>
    <w:rsid w:val="7F211349"/>
    <w:rsid w:val="7F4C6C82"/>
    <w:rsid w:val="7FBC500B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 w:val="24"/>
    </w:rPr>
  </w:style>
  <w:style w:type="paragraph" w:styleId="3">
    <w:name w:val="Body Text"/>
    <w:basedOn w:val="1"/>
    <w:semiHidden/>
    <w:unhideWhenUsed/>
    <w:qFormat/>
    <w:uiPriority w:val="99"/>
    <w:rPr>
      <w:rFonts w:ascii="宋体" w:hAnsi="宋体" w:eastAsia="宋体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link w:val="9"/>
    <w:semiHidden/>
    <w:qFormat/>
    <w:uiPriority w:val="0"/>
    <w:rPr>
      <w:rFonts w:eastAsia="仿宋_GB2312"/>
      <w:sz w:val="24"/>
    </w:rPr>
  </w:style>
  <w:style w:type="character" w:customStyle="1" w:styleId="9">
    <w:name w:val="普通(网站) Char"/>
    <w:link w:val="6"/>
    <w:qFormat/>
    <w:uiPriority w:val="0"/>
    <w:rPr>
      <w:rFonts w:eastAsia="仿宋_GB2312"/>
      <w:kern w:val="0"/>
      <w:sz w:val="24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3110</Words>
  <Characters>3172</Characters>
  <Lines>18</Lines>
  <Paragraphs>5</Paragraphs>
  <TotalTime>0</TotalTime>
  <ScaleCrop>false</ScaleCrop>
  <LinksUpToDate>false</LinksUpToDate>
  <CharactersWithSpaces>3180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2021-10-29T10:33:00Z</dcterms:created>
  <dc:creator>Administrator</dc:creator>
  <cp:lastModifiedBy>程</cp:lastModifiedBy>
  <cp:lastPrinted>2026-01-08T02:37:00Z</cp:lastPrinted>
  <dcterms:modified xsi:type="dcterms:W3CDTF">2026-02-04T02:29:19Z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2021-10-29T00:00:00Z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AFE10AFEAC004F88AFB0646AA174648D</vt:lpwstr>
  </property>
  <property fmtid="{D5CDD505-2E9C-101B-9397-08002B2CF9AE}" pid="6" name="KSOTemplateDocerSaveRecord">
    <vt:lpwstr>eyJoZGlkIjoiYzQ5YmNkYjVhZTJjZWRiYTFiODk4YjY0MDBiMWM3OTgiLCJ1c2VySWQiOiIyMjczOTMzNDEifQ==</vt:lpwstr>
  </property>
</Properties>
</file>